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BF442" w14:textId="77777777" w:rsidR="00207912" w:rsidRPr="002A0014" w:rsidRDefault="00207912" w:rsidP="00207912">
      <w:pPr>
        <w:rPr>
          <w:b/>
          <w:bCs/>
        </w:rPr>
      </w:pPr>
      <w:r w:rsidRPr="002A0014">
        <w:rPr>
          <w:rFonts w:ascii="Segoe UI Emoji" w:hAnsi="Segoe UI Emoji" w:cs="Segoe UI Emoji"/>
          <w:b/>
          <w:bCs/>
        </w:rPr>
        <w:t>💡</w:t>
      </w:r>
      <w:r w:rsidRPr="002A0014">
        <w:rPr>
          <w:b/>
          <w:bCs/>
        </w:rPr>
        <w:t xml:space="preserve"> 운용정책 요약</w:t>
      </w:r>
    </w:p>
    <w:p w14:paraId="7D965825" w14:textId="77777777" w:rsidR="00207912" w:rsidRPr="002A0014" w:rsidRDefault="00207912" w:rsidP="00207912">
      <w:r w:rsidRPr="002A0014">
        <w:t xml:space="preserve">NP RWA 프로젝트의 실물자산은 덕산산업개발 및 관계사(신세계, </w:t>
      </w:r>
      <w:proofErr w:type="spellStart"/>
      <w:r w:rsidRPr="002A0014">
        <w:t>청산업</w:t>
      </w:r>
      <w:proofErr w:type="spellEnd"/>
      <w:r w:rsidRPr="002A0014">
        <w:t>, 샘 법인 등)의 명의로 보유되어 있습니다.</w:t>
      </w:r>
      <w:r w:rsidRPr="002A0014">
        <w:br/>
        <w:t xml:space="preserve">그러나 토큰 상장 이후에는 </w:t>
      </w:r>
      <w:proofErr w:type="spellStart"/>
      <w:r w:rsidRPr="002A0014">
        <w:rPr>
          <w:b/>
          <w:bCs/>
        </w:rPr>
        <w:t>도경홀딩스가</w:t>
      </w:r>
      <w:proofErr w:type="spellEnd"/>
      <w:r w:rsidRPr="002A0014">
        <w:rPr>
          <w:b/>
          <w:bCs/>
        </w:rPr>
        <w:t xml:space="preserve"> 모든 자산의 통합 운용 및 수익관리 주체로 지정</w:t>
      </w:r>
      <w:r w:rsidRPr="002A0014">
        <w:t>되어,</w:t>
      </w:r>
      <w:r w:rsidRPr="002A0014">
        <w:br/>
        <w:t>투자자 보호와 자산 운영의 투명성을 확보합니다.</w:t>
      </w:r>
    </w:p>
    <w:p w14:paraId="0BC09149" w14:textId="77777777" w:rsidR="00207912" w:rsidRPr="002A0014" w:rsidRDefault="00207912" w:rsidP="00207912">
      <w:r w:rsidRPr="002A0014">
        <w:t>이 구조는 실물자산의 분산보유 리스크를 최소화하고,</w:t>
      </w:r>
      <w:r w:rsidRPr="002A0014">
        <w:br/>
        <w:t xml:space="preserve">중앙 통합 운용체계를 통해 안정적인 수익성과 책임경영을 달성하기 </w:t>
      </w:r>
      <w:proofErr w:type="spellStart"/>
      <w:r w:rsidRPr="002A0014">
        <w:t>위함입니다</w:t>
      </w:r>
      <w:proofErr w:type="spellEnd"/>
      <w:r w:rsidRPr="002A0014">
        <w:t>.</w:t>
      </w:r>
    </w:p>
    <w:p w14:paraId="5D4B6DE1" w14:textId="77777777" w:rsidR="00DD4DCE" w:rsidRPr="00207912" w:rsidRDefault="00DD4DCE"/>
    <w:sectPr w:rsidR="00DD4DCE" w:rsidRPr="0020791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912"/>
    <w:rsid w:val="000B420D"/>
    <w:rsid w:val="00207912"/>
    <w:rsid w:val="00314CBF"/>
    <w:rsid w:val="005245CE"/>
    <w:rsid w:val="006F1B9E"/>
    <w:rsid w:val="00937F4E"/>
    <w:rsid w:val="00DD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AF7DD"/>
  <w15:chartTrackingRefBased/>
  <w15:docId w15:val="{4CACA02A-44E6-4D95-B092-B4189B273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912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20791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079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0791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0791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0791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0791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791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791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791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20791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20791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20791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20791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20791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20791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20791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20791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20791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20791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2079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207912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20791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2079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207912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207912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207912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20791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207912"/>
    <w:rPr>
      <w:i/>
      <w:iCs/>
      <w:color w:val="2F5496" w:themeColor="accent1" w:themeShade="BF"/>
    </w:rPr>
  </w:style>
  <w:style w:type="character" w:styleId="a9">
    <w:name w:val="Intense Reference"/>
    <w:basedOn w:val="a0"/>
    <w:uiPriority w:val="32"/>
    <w:qFormat/>
    <w:rsid w:val="0020791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범학 이</dc:creator>
  <cp:keywords/>
  <dc:description/>
  <cp:lastModifiedBy>범학 이</cp:lastModifiedBy>
  <cp:revision>1</cp:revision>
  <dcterms:created xsi:type="dcterms:W3CDTF">2025-11-11T02:18:00Z</dcterms:created>
  <dcterms:modified xsi:type="dcterms:W3CDTF">2025-11-11T02:18:00Z</dcterms:modified>
</cp:coreProperties>
</file>